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0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822"/>
        <w:gridCol w:w="6258"/>
      </w:tblGrid>
      <w:tr w:rsidR="00BF488D" w:rsidTr="00EC12DD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22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58" w:type="dxa"/>
            <w:shd w:val="clear" w:color="auto" w:fill="auto"/>
            <w:vAlign w:val="bottom"/>
          </w:tcPr>
          <w:p w:rsidR="00BF488D" w:rsidRDefault="00BF488D" w:rsidP="00AD72AE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>
              <w:rPr>
                <w:rFonts w:ascii="Arial" w:eastAsia="Arial" w:hAnsi="Arial"/>
                <w:b/>
                <w:sz w:val="22"/>
              </w:rPr>
              <w:t xml:space="preserve"> </w:t>
            </w:r>
            <w:r w:rsidR="00EE41B3">
              <w:rPr>
                <w:rFonts w:ascii="Arial" w:eastAsia="Arial" w:hAnsi="Arial"/>
                <w:b/>
                <w:sz w:val="22"/>
              </w:rPr>
              <w:t>S.</w:t>
            </w:r>
            <w:r w:rsidR="00027944">
              <w:rPr>
                <w:rFonts w:ascii="Arial" w:eastAsia="Arial" w:hAnsi="Arial"/>
                <w:b/>
                <w:sz w:val="22"/>
              </w:rPr>
              <w:t>S.</w:t>
            </w:r>
            <w:r w:rsidR="00EE41B3">
              <w:rPr>
                <w:rFonts w:ascii="Arial" w:eastAsia="Arial" w:hAnsi="Arial"/>
                <w:b/>
                <w:sz w:val="22"/>
              </w:rPr>
              <w:t>0</w:t>
            </w:r>
            <w:r w:rsidR="00AD72AE">
              <w:rPr>
                <w:rFonts w:ascii="Arial" w:eastAsia="Arial" w:hAnsi="Arial"/>
                <w:b/>
                <w:sz w:val="22"/>
              </w:rPr>
              <w:t>6</w:t>
            </w:r>
          </w:p>
        </w:tc>
      </w:tr>
      <w:tr w:rsidR="00BF488D" w:rsidTr="00EC12DD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2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:rsidTr="00EC12DD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833208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1F01" w:rsidRDefault="00A95689" w:rsidP="00A11F01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b/>
                <w:noProof/>
              </w:rPr>
              <w:t>S</w:t>
            </w:r>
            <w:r w:rsidR="00042BB6">
              <w:rPr>
                <w:b/>
                <w:noProof/>
              </w:rPr>
              <w:t>S.0</w:t>
            </w:r>
            <w:r w:rsidR="00AD72AE">
              <w:rPr>
                <w:b/>
                <w:noProof/>
              </w:rPr>
              <w:t>6</w:t>
            </w:r>
            <w:r w:rsidR="00A11F01">
              <w:rPr>
                <w:b/>
                <w:noProof/>
              </w:rPr>
              <w:t xml:space="preserve"> </w:t>
            </w:r>
            <w:r w:rsidR="00871276">
              <w:rPr>
                <w:b/>
                <w:noProof/>
              </w:rPr>
              <w:t>–</w:t>
            </w:r>
            <w:r w:rsidR="00A11F01">
              <w:rPr>
                <w:b/>
                <w:noProof/>
              </w:rPr>
              <w:t xml:space="preserve"> </w:t>
            </w:r>
            <w:r w:rsidR="00AD72AE">
              <w:rPr>
                <w:rFonts w:cs="Calibri"/>
                <w:b/>
              </w:rPr>
              <w:t>ELISOCCORSO</w:t>
            </w:r>
          </w:p>
          <w:p w:rsidR="00BF488D" w:rsidRPr="00A11F01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BF488D" w:rsidTr="00EC12DD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C12DD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="00833208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EURO </w:t>
            </w:r>
            <w:r w:rsidR="007F5AF8">
              <w:rPr>
                <w:rFonts w:ascii="Arial" w:eastAsia="Arial" w:hAnsi="Arial"/>
                <w:b/>
                <w:sz w:val="16"/>
              </w:rPr>
              <w:t>238</w:t>
            </w:r>
            <w:r w:rsidR="00A95689">
              <w:rPr>
                <w:rFonts w:ascii="Arial" w:eastAsia="Arial" w:hAnsi="Arial"/>
                <w:b/>
                <w:sz w:val="16"/>
              </w:rPr>
              <w:t>.720</w:t>
            </w:r>
            <w:r w:rsidR="00042BB6">
              <w:rPr>
                <w:rFonts w:ascii="Arial" w:eastAsia="Arial" w:hAnsi="Arial"/>
                <w:b/>
                <w:sz w:val="16"/>
              </w:rPr>
              <w:t>,00</w:t>
            </w:r>
          </w:p>
          <w:p w:rsidR="00E566D0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LEGGE DI STABILITA’</w:t>
            </w:r>
          </w:p>
        </w:tc>
      </w:tr>
      <w:tr w:rsidR="00BF488D" w:rsidTr="00EC12DD">
        <w:trPr>
          <w:trHeight w:val="98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822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258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EC12DD" w:rsidTr="00EC12DD">
        <w:trPr>
          <w:trHeight w:val="3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2DD" w:rsidRDefault="00EC12DD" w:rsidP="00EC12DD">
            <w:pPr>
              <w:spacing w:line="178" w:lineRule="exact"/>
              <w:ind w:right="34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 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2DD" w:rsidRDefault="00EC12DD" w:rsidP="00EC12DD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2DD" w:rsidRPr="005366E5" w:rsidRDefault="00EC12DD" w:rsidP="005366E5">
            <w:pPr>
              <w:spacing w:line="178" w:lineRule="exact"/>
              <w:ind w:left="6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Realizzazione di una piazzola di atterraggio per elisoccorso.</w:t>
            </w:r>
          </w:p>
        </w:tc>
      </w:tr>
      <w:tr w:rsidR="00BF488D" w:rsidTr="00EC12DD">
        <w:trPr>
          <w:trHeight w:val="17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833208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2822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6258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042BB6" w:rsidP="00AD72AE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</w:t>
            </w:r>
            <w:r w:rsidR="00AD72AE">
              <w:rPr>
                <w:rFonts w:ascii="Arial" w:eastAsia="Arial" w:hAnsi="Arial"/>
                <w:b/>
                <w:sz w:val="16"/>
              </w:rPr>
              <w:t>4</w:t>
            </w:r>
            <w:r>
              <w:rPr>
                <w:rFonts w:ascii="Arial" w:eastAsia="Arial" w:hAnsi="Arial"/>
                <w:b/>
                <w:sz w:val="16"/>
              </w:rPr>
              <w:t>3D2</w:t>
            </w:r>
            <w:r w:rsidR="00AD72AE">
              <w:rPr>
                <w:rFonts w:ascii="Arial" w:eastAsia="Arial" w:hAnsi="Arial"/>
                <w:b/>
                <w:sz w:val="16"/>
              </w:rPr>
              <w:t>000000000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BF488D" w:rsidTr="00EC12DD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C12DD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833208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042BB6" w:rsidRDefault="00AD72AE" w:rsidP="009D62AA">
            <w:pPr>
              <w:spacing w:line="176" w:lineRule="exact"/>
              <w:ind w:left="6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iCs/>
              </w:rPr>
              <w:t>Valnerina</w:t>
            </w:r>
            <w:proofErr w:type="spellEnd"/>
            <w:r w:rsidR="00792A8B">
              <w:rPr>
                <w:iCs/>
              </w:rPr>
              <w:t xml:space="preserve"> </w:t>
            </w:r>
          </w:p>
        </w:tc>
      </w:tr>
      <w:tr w:rsidR="00BF488D" w:rsidTr="00EC12DD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C12DD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AB4E7D" w:rsidTr="00EC12DD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Default="00833208" w:rsidP="000E7744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AB4E7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92A8B" w:rsidRPr="00792A8B" w:rsidRDefault="00792A8B" w:rsidP="00424FF6">
            <w:pPr>
              <w:jc w:val="both"/>
              <w:rPr>
                <w:b/>
              </w:rPr>
            </w:pPr>
            <w:r w:rsidRPr="00792A8B">
              <w:rPr>
                <w:b/>
              </w:rPr>
              <w:t>Coerenza programmatica</w:t>
            </w:r>
          </w:p>
          <w:p w:rsidR="00792A8B" w:rsidRPr="009D62AA" w:rsidRDefault="00792A8B" w:rsidP="00792A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D62AA">
              <w:rPr>
                <w:color w:val="000000" w:themeColor="text1"/>
              </w:rPr>
              <w:t>La Strategia dell’area si basa sul tema dell</w:t>
            </w:r>
            <w:proofErr w:type="gramStart"/>
            <w:r w:rsidRPr="009D62AA">
              <w:rPr>
                <w:color w:val="000000" w:themeColor="text1"/>
              </w:rPr>
              <w:t>’“</w:t>
            </w:r>
            <w:proofErr w:type="gramEnd"/>
            <w:r w:rsidRPr="009D62AA">
              <w:rPr>
                <w:color w:val="000000" w:themeColor="text1"/>
              </w:rPr>
              <w:t>accessibilità” ai servizi che per quanto riguarda l’ambito salute significa garantire un miglioramento delle prestazioni legate alla gestione delle emergenze sanitarie, alla gestione della cronicità, alla diffusione di servizi sanitari di prossimità e alla gestione dell’assistenza domiciliare. In particolare, l’obiettivo di tale intervento (in complementarietà a quanto previsto dalla scheda SS02 – Acquisto ambulanze) è quello di rendere più accessibile a tutti i residenti dell’area o agli altri fruitori del territorio</w:t>
            </w:r>
            <w:r w:rsidR="00833208" w:rsidRPr="009D62AA">
              <w:rPr>
                <w:color w:val="000000" w:themeColor="text1"/>
              </w:rPr>
              <w:t>, nonché agli altri territori limitrofi,</w:t>
            </w:r>
            <w:r w:rsidRPr="009D62AA">
              <w:rPr>
                <w:color w:val="000000" w:themeColor="text1"/>
              </w:rPr>
              <w:t xml:space="preserve"> un servizio di gestione dell’emergenza/urgenza volto a favorire un più rapido ed efficiente/efficace intervento degli operatori sanitari.</w:t>
            </w:r>
          </w:p>
          <w:p w:rsidR="00792A8B" w:rsidRDefault="00792A8B" w:rsidP="00424FF6">
            <w:pPr>
              <w:jc w:val="both"/>
            </w:pPr>
          </w:p>
          <w:p w:rsidR="00792A8B" w:rsidRPr="00792A8B" w:rsidRDefault="00792A8B" w:rsidP="00424FF6">
            <w:pPr>
              <w:jc w:val="both"/>
              <w:rPr>
                <w:rFonts w:ascii="Arial" w:eastAsia="Arial" w:hAnsi="Arial"/>
                <w:b/>
                <w:sz w:val="16"/>
              </w:rPr>
            </w:pPr>
            <w:r w:rsidRPr="00792A8B">
              <w:rPr>
                <w:b/>
              </w:rPr>
              <w:t>Contestualizzazione</w:t>
            </w:r>
          </w:p>
        </w:tc>
      </w:tr>
      <w:tr w:rsidR="00AB4E7D" w:rsidTr="00EC12DD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92A8B" w:rsidRPr="00833208" w:rsidRDefault="00792A8B" w:rsidP="00833208">
            <w:pPr>
              <w:ind w:left="62"/>
              <w:jc w:val="both"/>
            </w:pPr>
            <w:r w:rsidRPr="00833208">
              <w:t xml:space="preserve">Una grave criticità del sistema socio sanitario è la difficoltà nella gestione dell'emergenza soprattutto per quelle le patologie tempo dipendenti. Ciò è dovuto alla diffusione territoriale degli insediamenti, alle condizioni morfologiche e climatiche del territorio e dei contesti da servire, legata principalmente all’inadeguatezza dei mezzi di soccorso, alla la carenza di attrezzatura idonea e alla carenza di personale. I dati dimostrano come il tempo che intercorre tra l’inizio della chiamata telefonica alla centrale operativa e l’arrivo del primo mezzo di soccorso sul posto è pari a 27 minuti, a fronte dei 20 minuti della media regionale.  </w:t>
            </w:r>
          </w:p>
          <w:p w:rsidR="00AB4E7D" w:rsidRDefault="00792A8B" w:rsidP="00833208">
            <w:pPr>
              <w:ind w:left="62"/>
              <w:jc w:val="both"/>
              <w:rPr>
                <w:rFonts w:ascii="Arial" w:eastAsia="Arial" w:hAnsi="Arial"/>
                <w:b/>
                <w:sz w:val="16"/>
              </w:rPr>
            </w:pPr>
            <w:r w:rsidRPr="00833208">
              <w:t>Al fine di fornire una risposta più rapida alle emergenze legate alle patologie tempo dipendenti, la realizzazione di un’apposita pista di elisoccorso si qualifica come intervento necessario e dal carattere strategico.</w:t>
            </w:r>
          </w:p>
        </w:tc>
      </w:tr>
      <w:tr w:rsidR="00AB4E7D" w:rsidTr="00EC12DD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B4E7D" w:rsidRDefault="00AB4E7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Tr="00EC12DD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833208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0" w:name="page3"/>
            <w:bookmarkEnd w:id="0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282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AD72AE" w:rsidRDefault="00BF488D" w:rsidP="00AD72AE">
            <w:pPr>
              <w:spacing w:line="179" w:lineRule="exact"/>
              <w:ind w:left="60"/>
            </w:pPr>
            <w:r w:rsidRPr="00AD72AE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AD72AE">
              <w:rPr>
                <w:rFonts w:ascii="Arial" w:eastAsia="Arial" w:hAnsi="Arial"/>
                <w:b/>
                <w:sz w:val="16"/>
              </w:rPr>
              <w:t xml:space="preserve"> della relazione tecnica)</w:t>
            </w:r>
            <w:r w:rsidR="00AB4E7D" w:rsidRPr="00AD72AE">
              <w:t xml:space="preserve"> </w:t>
            </w:r>
          </w:p>
        </w:tc>
        <w:tc>
          <w:tcPr>
            <w:tcW w:w="625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792A8B" w:rsidRDefault="00792A8B" w:rsidP="00792A8B">
            <w:pPr>
              <w:jc w:val="both"/>
              <w:rPr>
                <w:color w:val="4472C4" w:themeColor="accent5"/>
              </w:rPr>
            </w:pPr>
            <w:r w:rsidRPr="00792A8B">
              <w:t>L’intervento è</w:t>
            </w:r>
            <w:r>
              <w:t xml:space="preserve"> in linea con la programmazione sanitaria e specificamente con la destinazione dei Presidi Sanitari oggetto di ricostruzione post sisma nei Comuni di Norcia e di Cascia. </w:t>
            </w:r>
            <w:r w:rsidRPr="00C20921">
              <w:t>Nello specifico, allo scopo di affrontare le emergenze in contesti impervi e di difficile raggiungibilità, la Strategia ha inteso dotare l’Area di una pista di elisoccorso</w:t>
            </w:r>
            <w:r w:rsidR="00496B9E">
              <w:t xml:space="preserve"> al servizio dei presidi sanitari sopra indicati</w:t>
            </w:r>
            <w:r w:rsidR="00D62F69">
              <w:t xml:space="preserve"> gestita dal 118</w:t>
            </w:r>
            <w:r w:rsidRPr="00C20921">
              <w:t>, che sorgerà in una zona adeguata dal punto di vista della fattibilità urbanistica, ambientale morfologico e infrastrutturale, nonché conforme alle prescrizioni dell’ENAC.</w:t>
            </w:r>
          </w:p>
          <w:p w:rsidR="00792A8B" w:rsidRPr="00C20921" w:rsidRDefault="00792A8B" w:rsidP="00792A8B">
            <w:pPr>
              <w:jc w:val="both"/>
            </w:pPr>
            <w:r w:rsidRPr="00C20921">
              <w:t xml:space="preserve">L’opera consiste nella realizzazione di una piazzola di atterraggio dotata di segnaletica e illuminazione, al fine di renderla utilizzabile anche nelle ore notturne. </w:t>
            </w:r>
          </w:p>
          <w:p w:rsidR="00AD72AE" w:rsidRDefault="00AD72AE" w:rsidP="00AD72AE">
            <w:pPr>
              <w:autoSpaceDE w:val="0"/>
              <w:autoSpaceDN w:val="0"/>
              <w:adjustRightInd w:val="0"/>
              <w:jc w:val="both"/>
            </w:pPr>
            <w:r>
              <w:t>Per l’attuazione dell’intervento si prevedono le seguenti tipologia di spesa:</w:t>
            </w:r>
          </w:p>
          <w:p w:rsidR="009D00BF" w:rsidRDefault="008B2393" w:rsidP="009D00BF">
            <w:pPr>
              <w:pStyle w:val="Paragrafoelenco"/>
              <w:numPr>
                <w:ilvl w:val="1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it-IT"/>
              </w:rPr>
            </w:pPr>
            <w:r w:rsidRPr="008B2393">
              <w:rPr>
                <w:rFonts w:cs="Arial"/>
                <w:sz w:val="20"/>
                <w:szCs w:val="20"/>
                <w:lang w:eastAsia="it-IT"/>
              </w:rPr>
              <w:t xml:space="preserve">Lavori </w:t>
            </w:r>
            <w:r w:rsidR="007F5AF8">
              <w:rPr>
                <w:rFonts w:cs="Arial"/>
                <w:sz w:val="20"/>
                <w:szCs w:val="20"/>
                <w:lang w:eastAsia="it-IT"/>
              </w:rPr>
              <w:t>128</w:t>
            </w:r>
            <w:r w:rsidR="00C52C92">
              <w:rPr>
                <w:rFonts w:cs="Arial"/>
                <w:sz w:val="20"/>
                <w:szCs w:val="20"/>
                <w:lang w:eastAsia="it-IT"/>
              </w:rPr>
              <w:t>.720</w:t>
            </w:r>
            <w:r w:rsidR="00AD72AE" w:rsidRPr="009D00BF">
              <w:rPr>
                <w:rFonts w:cs="Arial"/>
                <w:sz w:val="20"/>
                <w:szCs w:val="20"/>
                <w:lang w:eastAsia="it-IT"/>
              </w:rPr>
              <w:t>,00 €</w:t>
            </w:r>
            <w:r w:rsidRPr="009D00BF">
              <w:rPr>
                <w:rFonts w:cs="Arial"/>
                <w:sz w:val="20"/>
                <w:szCs w:val="20"/>
                <w:lang w:eastAsia="it-IT"/>
              </w:rPr>
              <w:t xml:space="preserve"> </w:t>
            </w:r>
          </w:p>
          <w:p w:rsidR="008B2393" w:rsidRPr="009D00BF" w:rsidRDefault="008B2393" w:rsidP="009D00BF">
            <w:pPr>
              <w:pStyle w:val="Paragrafoelenco"/>
              <w:numPr>
                <w:ilvl w:val="1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it-IT"/>
              </w:rPr>
            </w:pPr>
            <w:r w:rsidRPr="009D62AA">
              <w:rPr>
                <w:rFonts w:cs="Arial"/>
                <w:color w:val="000000" w:themeColor="text1"/>
                <w:sz w:val="20"/>
                <w:szCs w:val="20"/>
                <w:lang w:eastAsia="it-IT"/>
              </w:rPr>
              <w:t>Costi per la sicurezza 10.000,00 €</w:t>
            </w:r>
            <w:r w:rsidRPr="009D00BF">
              <w:rPr>
                <w:rFonts w:cs="Arial"/>
                <w:sz w:val="20"/>
                <w:szCs w:val="20"/>
                <w:lang w:eastAsia="it-IT"/>
              </w:rPr>
              <w:t xml:space="preserve"> </w:t>
            </w:r>
          </w:p>
          <w:p w:rsidR="00AD72AE" w:rsidRDefault="00C20921" w:rsidP="00AD72AE">
            <w:pPr>
              <w:pStyle w:val="Paragrafoelenco"/>
              <w:numPr>
                <w:ilvl w:val="1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it-IT"/>
              </w:rPr>
            </w:pPr>
            <w:r w:rsidRPr="008B2393">
              <w:rPr>
                <w:rFonts w:cs="Arial"/>
                <w:sz w:val="20"/>
                <w:szCs w:val="20"/>
                <w:lang w:eastAsia="it-IT"/>
              </w:rPr>
              <w:t>Impiantistica 46</w:t>
            </w:r>
            <w:r w:rsidR="00AD72AE" w:rsidRPr="008B2393">
              <w:rPr>
                <w:rFonts w:cs="Arial"/>
                <w:sz w:val="20"/>
                <w:szCs w:val="20"/>
                <w:lang w:eastAsia="it-IT"/>
              </w:rPr>
              <w:t>.000,00</w:t>
            </w:r>
            <w:r w:rsidRPr="008B2393">
              <w:rPr>
                <w:rFonts w:cs="Arial"/>
                <w:sz w:val="20"/>
                <w:szCs w:val="20"/>
                <w:lang w:eastAsia="it-IT"/>
              </w:rPr>
              <w:t xml:space="preserve"> €</w:t>
            </w:r>
          </w:p>
          <w:p w:rsidR="00AD72AE" w:rsidRPr="008B2393" w:rsidRDefault="00AD72AE" w:rsidP="00AD72AE">
            <w:pPr>
              <w:pStyle w:val="Paragrafoelenco"/>
              <w:numPr>
                <w:ilvl w:val="1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it-IT"/>
              </w:rPr>
            </w:pPr>
            <w:r w:rsidRPr="008B2393">
              <w:rPr>
                <w:rFonts w:cs="Arial"/>
                <w:sz w:val="20"/>
                <w:szCs w:val="20"/>
                <w:lang w:eastAsia="it-IT"/>
              </w:rPr>
              <w:t>Recinzioni 20.000,00 €</w:t>
            </w:r>
          </w:p>
          <w:p w:rsidR="00AD72AE" w:rsidRPr="008B2393" w:rsidRDefault="00AD72AE" w:rsidP="00AD72AE">
            <w:pPr>
              <w:pStyle w:val="Paragrafoelenco"/>
              <w:numPr>
                <w:ilvl w:val="1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it-IT"/>
              </w:rPr>
            </w:pPr>
            <w:r w:rsidRPr="008B2393">
              <w:rPr>
                <w:rFonts w:cs="Arial"/>
                <w:sz w:val="20"/>
                <w:szCs w:val="20"/>
                <w:lang w:eastAsia="it-IT"/>
              </w:rPr>
              <w:t>Attrezzature 10.000,00 €</w:t>
            </w:r>
          </w:p>
          <w:p w:rsidR="00AD72AE" w:rsidRPr="008B2393" w:rsidRDefault="00AD72AE" w:rsidP="00AD72AE">
            <w:pPr>
              <w:pStyle w:val="Paragrafoelenco"/>
              <w:numPr>
                <w:ilvl w:val="1"/>
                <w:numId w:val="6"/>
              </w:num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it-IT"/>
              </w:rPr>
            </w:pPr>
            <w:r w:rsidRPr="008B2393">
              <w:rPr>
                <w:rFonts w:cs="Arial"/>
                <w:sz w:val="20"/>
                <w:szCs w:val="20"/>
                <w:lang w:eastAsia="it-IT"/>
              </w:rPr>
              <w:t xml:space="preserve">Acquisizione di servizi (Incarichi professionali per Progettazione, DL, </w:t>
            </w:r>
            <w:r w:rsidRPr="008B2393">
              <w:rPr>
                <w:rFonts w:cs="Arial"/>
                <w:sz w:val="20"/>
                <w:szCs w:val="20"/>
                <w:lang w:eastAsia="it-IT"/>
              </w:rPr>
              <w:lastRenderedPageBreak/>
              <w:t>collaudi) 24.000,00 €</w:t>
            </w:r>
          </w:p>
          <w:p w:rsidR="00792A8B" w:rsidRPr="009D62AA" w:rsidRDefault="00FB0A80" w:rsidP="00FB0A8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D62AA">
              <w:rPr>
                <w:color w:val="000000" w:themeColor="text1"/>
              </w:rPr>
              <w:t>L’AUSL Umbria 2, con apposita dichiarazione sottoscritta dal proprio legale rappresentante, si assume l’impegno a garantire l’erogazione del servizio relativo all’opera realizzata con i fondi messi a disposizione dalla SNAI e previsti nella presente scheda.</w:t>
            </w:r>
          </w:p>
        </w:tc>
      </w:tr>
      <w:tr w:rsidR="00BF488D" w:rsidTr="00EC12DD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BF488D" w:rsidTr="00EC12DD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833208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58B4" w:rsidRPr="00792A8B" w:rsidRDefault="00EE41B3" w:rsidP="00792A8B">
            <w:pPr>
              <w:autoSpaceDE w:val="0"/>
              <w:autoSpaceDN w:val="0"/>
              <w:adjustRightInd w:val="0"/>
              <w:jc w:val="both"/>
              <w:rPr>
                <w:rFonts w:eastAsiaTheme="minorHAnsi" w:cs="Calibri"/>
                <w:lang w:eastAsia="en-US"/>
              </w:rPr>
            </w:pPr>
            <w:r w:rsidRPr="00EE41B3">
              <w:rPr>
                <w:rFonts w:eastAsiaTheme="minorHAnsi" w:cs="Calibri"/>
                <w:lang w:eastAsia="en-US"/>
              </w:rPr>
              <w:t>[AP] RA 9.3 Aumento/ consolidamento/ qualificazione dei servizi di</w:t>
            </w:r>
            <w:r w:rsidR="00792A8B">
              <w:rPr>
                <w:rFonts w:eastAsiaTheme="minorHAnsi" w:cs="Calibri"/>
                <w:lang w:eastAsia="en-US"/>
              </w:rPr>
              <w:t xml:space="preserve"> </w:t>
            </w:r>
            <w:r w:rsidRPr="00EE41B3">
              <w:rPr>
                <w:rFonts w:eastAsiaTheme="minorHAnsi" w:cs="Calibri"/>
                <w:lang w:eastAsia="en-US"/>
              </w:rPr>
              <w:t>cura socio-educativi rivolti ai bambini e dei servizi di cura rivolti a</w:t>
            </w:r>
            <w:r w:rsidR="00792A8B">
              <w:rPr>
                <w:rFonts w:eastAsiaTheme="minorHAnsi" w:cs="Calibri"/>
                <w:lang w:eastAsia="en-US"/>
              </w:rPr>
              <w:t xml:space="preserve"> </w:t>
            </w:r>
            <w:r w:rsidRPr="00EE41B3">
              <w:rPr>
                <w:rFonts w:eastAsiaTheme="minorHAnsi" w:cs="Calibri"/>
                <w:lang w:eastAsia="en-US"/>
              </w:rPr>
              <w:t>persone con limitazioni dell’autonomia e potenziamento della rete</w:t>
            </w:r>
            <w:r w:rsidR="00792A8B">
              <w:rPr>
                <w:rFonts w:eastAsiaTheme="minorHAnsi" w:cs="Calibri"/>
                <w:lang w:eastAsia="en-US"/>
              </w:rPr>
              <w:t xml:space="preserve"> </w:t>
            </w:r>
            <w:r w:rsidRPr="00EE41B3">
              <w:rPr>
                <w:rFonts w:eastAsiaTheme="minorHAnsi" w:cs="Calibri"/>
                <w:lang w:eastAsia="en-US"/>
              </w:rPr>
              <w:t>infrastrutturale e dell’offerta di servizi sanitari e sociosanitari</w:t>
            </w:r>
            <w:r w:rsidR="00792A8B">
              <w:rPr>
                <w:rFonts w:eastAsiaTheme="minorHAnsi" w:cs="Calibri"/>
                <w:lang w:eastAsia="en-US"/>
              </w:rPr>
              <w:t xml:space="preserve"> </w:t>
            </w:r>
            <w:r w:rsidRPr="00EE41B3">
              <w:rPr>
                <w:rFonts w:eastAsiaTheme="minorHAnsi" w:cs="Calibri"/>
                <w:lang w:eastAsia="en-US"/>
              </w:rPr>
              <w:t>territoriali</w:t>
            </w:r>
            <w:r w:rsidR="007658B4">
              <w:rPr>
                <w:rFonts w:eastAsiaTheme="minorHAnsi" w:cs="Calibri"/>
                <w:lang w:eastAsia="en-US"/>
              </w:rPr>
              <w:t>.</w:t>
            </w:r>
          </w:p>
        </w:tc>
      </w:tr>
      <w:tr w:rsidR="00BF488D" w:rsidTr="00EC12DD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C12DD">
        <w:trPr>
          <w:trHeight w:val="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Tr="00EC12DD">
        <w:trPr>
          <w:trHeight w:val="251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833208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3169B1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/>
                <w:b/>
                <w:sz w:val="16"/>
              </w:rPr>
              <w:t>risultato</w:t>
            </w:r>
            <w:proofErr w:type="gramEnd"/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</w:tcPr>
          <w:p w:rsidR="0058615C" w:rsidRPr="0058615C" w:rsidRDefault="0058615C" w:rsidP="0058615C">
            <w:pPr>
              <w:rPr>
                <w:rFonts w:cs="Calibri"/>
                <w:b/>
              </w:rPr>
            </w:pPr>
            <w:r w:rsidRPr="0058615C">
              <w:rPr>
                <w:rFonts w:cs="Calibri"/>
                <w:b/>
              </w:rPr>
              <w:t>Indicatore di realizzazione:</w:t>
            </w:r>
          </w:p>
          <w:p w:rsidR="0058615C" w:rsidRDefault="007C217E" w:rsidP="0058615C">
            <w:pPr>
              <w:jc w:val="both"/>
            </w:pPr>
            <w:r>
              <w:t>(ID 791) Superficie oggetto di intervento</w:t>
            </w:r>
          </w:p>
          <w:p w:rsidR="0058615C" w:rsidRDefault="0058615C" w:rsidP="0058615C">
            <w:pPr>
              <w:jc w:val="both"/>
            </w:pPr>
            <w:r w:rsidRPr="00581E3C">
              <w:t>Baseline</w:t>
            </w:r>
            <w:r>
              <w:t>:</w:t>
            </w:r>
            <w:r w:rsidRPr="00581E3C">
              <w:t xml:space="preserve"> 0</w:t>
            </w:r>
          </w:p>
          <w:p w:rsidR="0058615C" w:rsidRDefault="0058615C" w:rsidP="0058615C">
            <w:pPr>
              <w:jc w:val="both"/>
            </w:pPr>
            <w:r>
              <w:t>Targ</w:t>
            </w:r>
            <w:r w:rsidRPr="00581E3C">
              <w:t>et</w:t>
            </w:r>
            <w:r>
              <w:t>:</w:t>
            </w:r>
            <w:r w:rsidR="007C217E">
              <w:t xml:space="preserve"> 625 mq</w:t>
            </w:r>
            <w:bookmarkStart w:id="1" w:name="_GoBack"/>
            <w:bookmarkEnd w:id="1"/>
          </w:p>
          <w:p w:rsidR="0058615C" w:rsidRPr="0058615C" w:rsidRDefault="0058615C" w:rsidP="0058615C">
            <w:pPr>
              <w:rPr>
                <w:rFonts w:cs="Calibri"/>
                <w:i/>
              </w:rPr>
            </w:pPr>
            <w:r w:rsidRPr="00DC6680">
              <w:t xml:space="preserve">Fonte dati: </w:t>
            </w:r>
            <w:r>
              <w:rPr>
                <w:rFonts w:cs="Calibri"/>
                <w:i/>
              </w:rPr>
              <w:t>Azienda Sanitaria Locale (USL Umbria 2)</w:t>
            </w:r>
          </w:p>
          <w:p w:rsidR="0058615C" w:rsidRDefault="0058615C" w:rsidP="00581E3C">
            <w:pPr>
              <w:jc w:val="both"/>
              <w:rPr>
                <w:b/>
              </w:rPr>
            </w:pPr>
          </w:p>
          <w:p w:rsidR="00424FF6" w:rsidRPr="0058615C" w:rsidRDefault="00424FF6" w:rsidP="00581E3C">
            <w:pPr>
              <w:jc w:val="both"/>
              <w:rPr>
                <w:b/>
              </w:rPr>
            </w:pPr>
            <w:r w:rsidRPr="0058615C">
              <w:rPr>
                <w:b/>
              </w:rPr>
              <w:t>Indicatore di risultato:</w:t>
            </w:r>
          </w:p>
          <w:p w:rsidR="00581E3C" w:rsidRDefault="0058615C" w:rsidP="00581E3C">
            <w:pPr>
              <w:jc w:val="both"/>
            </w:pPr>
            <w:r>
              <w:t xml:space="preserve">(ID 6018) </w:t>
            </w:r>
            <w:r w:rsidR="00581E3C">
              <w:t>Primo soccorso: durata (in minuti) dell’intervallo allarme-target</w:t>
            </w:r>
          </w:p>
          <w:p w:rsidR="0058615C" w:rsidRDefault="0058615C" w:rsidP="00581E3C">
            <w:pPr>
              <w:jc w:val="both"/>
            </w:pPr>
            <w:r>
              <w:t>(</w:t>
            </w:r>
            <w:proofErr w:type="gramStart"/>
            <w:r w:rsidRPr="0058615C">
              <w:t>tempi</w:t>
            </w:r>
            <w:proofErr w:type="gramEnd"/>
            <w:r w:rsidRPr="0058615C">
              <w:t xml:space="preserve"> che intercorrono tra l'inizio della chiamata telefonica alla Centrale Operativa e l'arrivo del primo mezzo di soccorso sul posto</w:t>
            </w:r>
            <w:r>
              <w:t>)</w:t>
            </w:r>
          </w:p>
          <w:p w:rsidR="00581E3C" w:rsidRPr="00587E10" w:rsidRDefault="00581E3C" w:rsidP="00581E3C">
            <w:pPr>
              <w:jc w:val="both"/>
            </w:pPr>
            <w:r w:rsidRPr="00587E10">
              <w:t>Baseline</w:t>
            </w:r>
            <w:r w:rsidR="00057A7C">
              <w:t>:</w:t>
            </w:r>
            <w:r w:rsidRPr="00587E10">
              <w:t xml:space="preserve"> 27</w:t>
            </w:r>
          </w:p>
          <w:p w:rsidR="00581E3C" w:rsidRDefault="00581E3C" w:rsidP="00581E3C">
            <w:r w:rsidRPr="00581E3C">
              <w:t>Target</w:t>
            </w:r>
            <w:r w:rsidR="00057A7C">
              <w:t>:</w:t>
            </w:r>
            <w:r w:rsidRPr="00581E3C">
              <w:t xml:space="preserve"> </w:t>
            </w:r>
            <w:r w:rsidR="0058615C">
              <w:t>22</w:t>
            </w:r>
          </w:p>
          <w:p w:rsidR="00581E3C" w:rsidRPr="0058615C" w:rsidRDefault="007658B4" w:rsidP="0058615C">
            <w:pPr>
              <w:rPr>
                <w:rFonts w:cs="Calibri"/>
                <w:i/>
              </w:rPr>
            </w:pPr>
            <w:r w:rsidRPr="00DC6680">
              <w:t xml:space="preserve">Fonte dati: </w:t>
            </w:r>
            <w:r w:rsidR="00581E3C">
              <w:rPr>
                <w:rFonts w:cs="Calibri"/>
                <w:i/>
              </w:rPr>
              <w:t>Azienda Sanitaria Locale (USL Umbria 2)</w:t>
            </w:r>
          </w:p>
        </w:tc>
      </w:tr>
      <w:tr w:rsidR="00BF488D" w:rsidTr="00EC12DD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Default="00BF488D" w:rsidP="003169B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3169B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</w:tcPr>
          <w:p w:rsidR="00BF488D" w:rsidRDefault="00BF488D" w:rsidP="00EE41B3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C12DD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7658B4" w:rsidTr="00EC12DD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58B4" w:rsidRDefault="00833208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58B4" w:rsidRDefault="007658B4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01C60" w:rsidRDefault="00581E3C" w:rsidP="00581E3C">
            <w:pPr>
              <w:jc w:val="both"/>
            </w:pPr>
            <w:r>
              <w:t>Affidamento in appalto di servizi, lavori e forniture mediante procedure previste dal Codice degli Appalti (</w:t>
            </w:r>
            <w:proofErr w:type="spellStart"/>
            <w:r>
              <w:t>D.Lgs</w:t>
            </w:r>
            <w:proofErr w:type="spellEnd"/>
            <w:r>
              <w:t xml:space="preserve"> 50/2016 e </w:t>
            </w:r>
            <w:proofErr w:type="spellStart"/>
            <w:r>
              <w:t>s.m.i.</w:t>
            </w:r>
            <w:proofErr w:type="spellEnd"/>
            <w:r>
              <w:t>)</w:t>
            </w:r>
          </w:p>
          <w:p w:rsidR="00101C60" w:rsidRDefault="00101C60" w:rsidP="007658B4">
            <w:pPr>
              <w:rPr>
                <w:rFonts w:ascii="Arial" w:eastAsia="Arial" w:hAnsi="Arial"/>
                <w:b/>
                <w:sz w:val="16"/>
              </w:rPr>
            </w:pPr>
          </w:p>
        </w:tc>
      </w:tr>
      <w:tr w:rsidR="007658B4" w:rsidTr="00EC12DD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658B4" w:rsidRDefault="007658B4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58B4" w:rsidRDefault="007658B4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del</w:t>
            </w:r>
            <w:proofErr w:type="gramEnd"/>
            <w:r>
              <w:rPr>
                <w:rFonts w:ascii="Arial" w:eastAsia="Arial" w:hAnsi="Arial"/>
                <w:b/>
                <w:sz w:val="16"/>
              </w:rPr>
              <w:t xml:space="preserve"> cantiere</w:t>
            </w: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658B4" w:rsidRDefault="007658B4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EC12DD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5577F" w:rsidTr="00EC12DD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33208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2822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85577F" w:rsidRDefault="0085577F" w:rsidP="0085577F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necessaria per</w:t>
            </w:r>
          </w:p>
          <w:p w:rsidR="0085577F" w:rsidRDefault="0085577F" w:rsidP="0085577F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l'avvio</w:t>
            </w:r>
            <w:proofErr w:type="gramEnd"/>
            <w:r>
              <w:rPr>
                <w:rFonts w:ascii="Arial" w:eastAsia="Arial" w:hAnsi="Arial"/>
                <w:b/>
                <w:sz w:val="16"/>
              </w:rPr>
              <w:t xml:space="preserve"> dell'affidamento</w:t>
            </w:r>
          </w:p>
        </w:tc>
        <w:tc>
          <w:tcPr>
            <w:tcW w:w="6258" w:type="dxa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85577F" w:rsidRPr="0085577F" w:rsidRDefault="00581E3C" w:rsidP="0085577F">
            <w:pPr>
              <w:spacing w:line="177" w:lineRule="exact"/>
              <w:ind w:left="60"/>
              <w:rPr>
                <w:rFonts w:asciiTheme="minorHAnsi" w:eastAsia="Arial" w:hAnsiTheme="minorHAnsi"/>
              </w:rPr>
            </w:pPr>
            <w:r>
              <w:rPr>
                <w:rFonts w:asciiTheme="minorHAnsi" w:eastAsia="Arial" w:hAnsiTheme="minorHAnsi"/>
              </w:rPr>
              <w:t>Progettazione definitiva ed esecutiva</w:t>
            </w:r>
          </w:p>
        </w:tc>
      </w:tr>
      <w:tr w:rsidR="0085577F" w:rsidTr="00EC12DD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EC12DD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25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EC12DD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22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25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BF488D" w:rsidTr="00EC12DD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833208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581E3C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Theme="minorHAnsi" w:eastAsia="Arial" w:hAnsiTheme="minorHAnsi"/>
              </w:rPr>
              <w:t>Documentazione propedeutica alla fattibilità tecnico-economica</w:t>
            </w:r>
          </w:p>
        </w:tc>
      </w:tr>
      <w:tr w:rsidR="00BF488D" w:rsidTr="00EC12DD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proofErr w:type="gramStart"/>
            <w:r>
              <w:rPr>
                <w:rFonts w:ascii="Arial" w:eastAsia="Arial" w:hAnsi="Arial"/>
                <w:b/>
                <w:sz w:val="16"/>
              </w:rPr>
              <w:t>disponibile</w:t>
            </w:r>
            <w:proofErr w:type="gramEnd"/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BF488D" w:rsidTr="00EC12DD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BF488D" w:rsidTr="00EC12DD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833208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3169B1" w:rsidRDefault="00EE41B3" w:rsidP="00581E3C">
            <w:pPr>
              <w:snapToGrid w:val="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 </w:t>
            </w:r>
            <w:r w:rsidR="0085577F">
              <w:rPr>
                <w:rFonts w:cs="Calibri"/>
                <w:i/>
              </w:rPr>
              <w:t>USL</w:t>
            </w:r>
            <w:r w:rsidRPr="00EE41B3">
              <w:rPr>
                <w:rFonts w:cs="Calibri"/>
                <w:i/>
              </w:rPr>
              <w:t xml:space="preserve"> Umbria</w:t>
            </w:r>
            <w:r w:rsidR="0085577F">
              <w:rPr>
                <w:rFonts w:cs="Calibri"/>
                <w:i/>
              </w:rPr>
              <w:t xml:space="preserve"> 2</w:t>
            </w:r>
          </w:p>
        </w:tc>
      </w:tr>
      <w:tr w:rsidR="00BF488D" w:rsidTr="00EC12DD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EC12DD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833208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282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625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581E3C" w:rsidP="006F6784">
            <w:pPr>
              <w:snapToGrid w:val="0"/>
              <w:rPr>
                <w:rFonts w:ascii="Arial" w:eastAsia="Arial" w:hAnsi="Arial"/>
                <w:b/>
                <w:sz w:val="16"/>
              </w:rPr>
            </w:pPr>
            <w:r>
              <w:rPr>
                <w:rFonts w:cs="Calibri"/>
                <w:i/>
              </w:rPr>
              <w:t>Arch. Maria Luisa Morina</w:t>
            </w:r>
            <w:r w:rsidR="00082E7B">
              <w:rPr>
                <w:rFonts w:cs="Calibri"/>
                <w:i/>
              </w:rPr>
              <w:t xml:space="preserve"> – Dirigente Servizio Attività tecniche, manutenzioni ed ingegneria clinica </w:t>
            </w:r>
          </w:p>
        </w:tc>
      </w:tr>
      <w:tr w:rsidR="00BF488D" w:rsidTr="00EC12DD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2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5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3169B1" w:rsidRDefault="003169B1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EE41B3" w:rsidRDefault="00EE41B3" w:rsidP="0058615C">
      <w:pPr>
        <w:spacing w:line="232" w:lineRule="auto"/>
        <w:rPr>
          <w:rFonts w:ascii="Arial" w:eastAsia="Arial" w:hAnsi="Arial"/>
          <w:b/>
          <w:sz w:val="22"/>
        </w:rPr>
      </w:pPr>
    </w:p>
    <w:p w:rsidR="00EE41B3" w:rsidRDefault="00EE41B3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BF488D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Tipologie di spesa</w:t>
      </w:r>
    </w:p>
    <w:p w:rsidR="00BF488D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W w:w="96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0"/>
        <w:gridCol w:w="120"/>
        <w:gridCol w:w="3951"/>
        <w:gridCol w:w="2289"/>
      </w:tblGrid>
      <w:tr w:rsidR="00BF488D" w:rsidTr="005E65DF">
        <w:trPr>
          <w:trHeight w:val="238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51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>
              <w:rPr>
                <w:rFonts w:ascii="Arial" w:eastAsia="Arial" w:hAnsi="Arial"/>
                <w:b/>
                <w:w w:val="99"/>
                <w:sz w:val="16"/>
              </w:rPr>
              <w:t>Valuta</w:t>
            </w:r>
          </w:p>
        </w:tc>
      </w:tr>
      <w:tr w:rsidR="0085577F" w:rsidTr="0085577F">
        <w:trPr>
          <w:trHeight w:val="180"/>
        </w:trPr>
        <w:tc>
          <w:tcPr>
            <w:tcW w:w="342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Spese tecniche</w:t>
            </w: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58615C" w:rsidP="0085577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/>
                <w:b/>
                <w:sz w:val="16"/>
              </w:rPr>
            </w:pPr>
            <w:r w:rsidRPr="00AD72AE">
              <w:t>Incarichi professionali per Progettazione, DL, collaudi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581E3C" w:rsidP="0085577F">
            <w:pPr>
              <w:spacing w:line="179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24.000,00 </w:t>
            </w:r>
            <w:r w:rsidR="0085577F">
              <w:rPr>
                <w:rFonts w:ascii="Arial" w:eastAsia="Arial" w:hAnsi="Arial"/>
                <w:b/>
                <w:sz w:val="16"/>
              </w:rPr>
              <w:t>EUR</w:t>
            </w:r>
          </w:p>
        </w:tc>
      </w:tr>
      <w:tr w:rsidR="0085577F" w:rsidTr="0085577F">
        <w:trPr>
          <w:trHeight w:val="146"/>
        </w:trPr>
        <w:tc>
          <w:tcPr>
            <w:tcW w:w="34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85577F" w:rsidP="0085577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85577F" w:rsidP="0085577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8B2393" w:rsidTr="008B2393">
        <w:trPr>
          <w:trHeight w:val="200"/>
        </w:trPr>
        <w:tc>
          <w:tcPr>
            <w:tcW w:w="330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B2393" w:rsidRDefault="008B2393" w:rsidP="008B2393">
            <w:pPr>
              <w:spacing w:line="0" w:lineRule="atLeast"/>
              <w:ind w:left="80"/>
              <w:rPr>
                <w:rFonts w:ascii="Arial" w:eastAsia="Arial" w:hAnsi="Arial"/>
                <w:b/>
                <w:sz w:val="16"/>
              </w:rPr>
            </w:pPr>
            <w:bookmarkStart w:id="2" w:name="page4"/>
            <w:bookmarkEnd w:id="2"/>
            <w:r>
              <w:rPr>
                <w:rFonts w:ascii="Arial" w:eastAsia="Arial" w:hAnsi="Arial"/>
                <w:b/>
                <w:sz w:val="16"/>
              </w:rPr>
              <w:t>Opere civili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2393" w:rsidRDefault="008B2393" w:rsidP="00A11F0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95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2393" w:rsidRPr="008B2393" w:rsidRDefault="008B2393" w:rsidP="0085577F">
            <w:pPr>
              <w:autoSpaceDE w:val="0"/>
              <w:autoSpaceDN w:val="0"/>
              <w:adjustRightInd w:val="0"/>
              <w:jc w:val="center"/>
            </w:pPr>
            <w:r w:rsidRPr="008B2393">
              <w:t>Realizzazione piazzola per elisoccorso</w:t>
            </w:r>
          </w:p>
        </w:tc>
        <w:tc>
          <w:tcPr>
            <w:tcW w:w="228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2393" w:rsidRDefault="007F5AF8" w:rsidP="00C52C92">
            <w:pPr>
              <w:spacing w:line="0" w:lineRule="atLeas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128</w:t>
            </w:r>
            <w:r w:rsidR="00C52C92">
              <w:rPr>
                <w:rFonts w:ascii="Arial" w:eastAsia="Arial" w:hAnsi="Arial"/>
                <w:b/>
                <w:sz w:val="16"/>
              </w:rPr>
              <w:t>.72</w:t>
            </w:r>
            <w:r w:rsidR="008B2393" w:rsidRPr="0058615C">
              <w:rPr>
                <w:rFonts w:ascii="Arial" w:eastAsia="Arial" w:hAnsi="Arial"/>
                <w:b/>
                <w:sz w:val="16"/>
              </w:rPr>
              <w:t>0,00</w:t>
            </w:r>
            <w:r w:rsidR="008B2393">
              <w:rPr>
                <w:rFonts w:ascii="Arial" w:eastAsia="Arial" w:hAnsi="Arial"/>
                <w:b/>
                <w:sz w:val="16"/>
              </w:rPr>
              <w:t xml:space="preserve"> EUR</w:t>
            </w:r>
          </w:p>
        </w:tc>
      </w:tr>
      <w:tr w:rsidR="008B2393" w:rsidTr="00FE092D">
        <w:trPr>
          <w:trHeight w:val="146"/>
        </w:trPr>
        <w:tc>
          <w:tcPr>
            <w:tcW w:w="330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B2393" w:rsidRDefault="008B2393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2393" w:rsidRDefault="008B2393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2393" w:rsidRPr="0085577F" w:rsidRDefault="008B2393" w:rsidP="0085577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2393" w:rsidRPr="0085577F" w:rsidRDefault="008B2393" w:rsidP="00A11F01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</w:p>
        </w:tc>
      </w:tr>
      <w:tr w:rsidR="008B2393" w:rsidTr="0085577F">
        <w:trPr>
          <w:trHeight w:val="148"/>
        </w:trPr>
        <w:tc>
          <w:tcPr>
            <w:tcW w:w="3300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B2393" w:rsidRDefault="008B2393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2393" w:rsidRDefault="008B2393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2393" w:rsidRPr="0085577F" w:rsidRDefault="008B2393" w:rsidP="0085577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2393" w:rsidRPr="0085577F" w:rsidRDefault="008B2393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85577F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5577F" w:rsidRDefault="008D5F1F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9A61CD">
              <w:rPr>
                <w:rFonts w:ascii="Arial" w:eastAsia="Arial" w:hAnsi="Arial"/>
                <w:b/>
                <w:sz w:val="16"/>
              </w:rPr>
              <w:t xml:space="preserve">Costi </w:t>
            </w:r>
            <w:r w:rsidR="0085577F" w:rsidRPr="009A61CD">
              <w:rPr>
                <w:rFonts w:ascii="Arial" w:eastAsia="Arial" w:hAnsi="Arial"/>
                <w:b/>
                <w:sz w:val="16"/>
              </w:rPr>
              <w:t>per</w:t>
            </w:r>
            <w:r w:rsidR="0085577F">
              <w:rPr>
                <w:rFonts w:ascii="Arial" w:eastAsia="Arial" w:hAnsi="Arial"/>
                <w:b/>
                <w:sz w:val="16"/>
              </w:rPr>
              <w:t xml:space="preserve"> la sicurezza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85577F" w:rsidP="0085577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8B2393" w:rsidP="0085577F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</w:t>
            </w:r>
            <w:r w:rsidR="00581E3C">
              <w:rPr>
                <w:rFonts w:ascii="Arial" w:eastAsia="Arial" w:hAnsi="Arial"/>
                <w:b/>
                <w:sz w:val="16"/>
              </w:rPr>
              <w:t xml:space="preserve">0.000,00 </w:t>
            </w:r>
            <w:r w:rsidR="0085577F">
              <w:rPr>
                <w:rFonts w:ascii="Arial" w:eastAsia="Arial" w:hAnsi="Arial"/>
                <w:b/>
                <w:sz w:val="16"/>
              </w:rPr>
              <w:t>EUR</w:t>
            </w:r>
          </w:p>
        </w:tc>
      </w:tr>
      <w:tr w:rsidR="0085577F" w:rsidTr="0085577F">
        <w:trPr>
          <w:trHeight w:val="14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85577F" w:rsidP="0085577F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85577F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85577F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</w:tcPr>
          <w:p w:rsidR="0085577F" w:rsidRDefault="00057CD8" w:rsidP="00027944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85577F">
              <w:rPr>
                <w:rFonts w:ascii="Arial" w:eastAsia="Arial" w:hAnsi="Arial"/>
                <w:b/>
                <w:sz w:val="16"/>
              </w:rPr>
              <w:t>Acquisto beni/forniture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8B2393" w:rsidP="00057CD8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/>
                <w:b/>
                <w:sz w:val="16"/>
              </w:rPr>
            </w:pPr>
            <w:r w:rsidRPr="00057CD8">
              <w:t>Impiantistica, recinzioni e attrezzature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057CD8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76</w:t>
            </w:r>
            <w:r w:rsidR="00792A8B">
              <w:rPr>
                <w:rFonts w:ascii="Arial" w:eastAsia="Arial" w:hAnsi="Arial"/>
                <w:b/>
                <w:sz w:val="16"/>
              </w:rPr>
              <w:t>.000</w:t>
            </w:r>
            <w:r>
              <w:rPr>
                <w:rFonts w:ascii="Arial" w:eastAsia="Arial" w:hAnsi="Arial"/>
                <w:b/>
                <w:sz w:val="16"/>
              </w:rPr>
              <w:t xml:space="preserve">,00 </w:t>
            </w:r>
            <w:r w:rsidR="0085577F">
              <w:rPr>
                <w:rFonts w:ascii="Arial" w:eastAsia="Arial" w:hAnsi="Arial"/>
                <w:b/>
                <w:sz w:val="16"/>
              </w:rPr>
              <w:t>EUR</w:t>
            </w:r>
          </w:p>
        </w:tc>
      </w:tr>
      <w:tr w:rsidR="0085577F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85577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577F" w:rsidRPr="0085577F" w:rsidRDefault="0085577F" w:rsidP="0085577F">
            <w:pPr>
              <w:spacing w:line="0" w:lineRule="atLeas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</w:tr>
      <w:tr w:rsidR="0085577F" w:rsidTr="0085577F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5577F" w:rsidRDefault="00057CD8" w:rsidP="00A11F0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TOTALE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85577F">
            <w:pPr>
              <w:spacing w:line="177" w:lineRule="exact"/>
              <w:jc w:val="center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5577F" w:rsidRDefault="007F5AF8" w:rsidP="0085577F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238.</w:t>
            </w:r>
            <w:r w:rsidR="00C52C92">
              <w:rPr>
                <w:rFonts w:ascii="Arial" w:eastAsia="Arial" w:hAnsi="Arial"/>
                <w:b/>
                <w:sz w:val="16"/>
              </w:rPr>
              <w:t>720</w:t>
            </w:r>
            <w:r w:rsidR="00057CD8">
              <w:rPr>
                <w:rFonts w:ascii="Arial" w:eastAsia="Arial" w:hAnsi="Arial"/>
                <w:b/>
                <w:sz w:val="16"/>
              </w:rPr>
              <w:t xml:space="preserve">,00 </w:t>
            </w:r>
            <w:r w:rsidR="0085577F">
              <w:rPr>
                <w:rFonts w:ascii="Arial" w:eastAsia="Arial" w:hAnsi="Arial"/>
                <w:b/>
                <w:sz w:val="16"/>
              </w:rPr>
              <w:t>EUR</w:t>
            </w:r>
          </w:p>
        </w:tc>
      </w:tr>
      <w:tr w:rsidR="0085577F" w:rsidTr="0085577F">
        <w:trPr>
          <w:trHeight w:val="149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Default="0085577F" w:rsidP="0085577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577F" w:rsidRPr="0085577F" w:rsidRDefault="0085577F" w:rsidP="00A11F01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</w:p>
        </w:tc>
      </w:tr>
      <w:tr w:rsidR="00BF488D" w:rsidTr="0085577F">
        <w:trPr>
          <w:trHeight w:val="244"/>
        </w:trPr>
        <w:tc>
          <w:tcPr>
            <w:tcW w:w="7371" w:type="dxa"/>
            <w:gridSpan w:val="3"/>
            <w:shd w:val="clear" w:color="auto" w:fill="auto"/>
            <w:vAlign w:val="bottom"/>
          </w:tcPr>
          <w:p w:rsidR="00027944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027944" w:rsidRDefault="00027944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BF488D" w:rsidRDefault="00BF488D" w:rsidP="00A11F01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Cronoprogramma delle attività</w:t>
            </w:r>
          </w:p>
        </w:tc>
        <w:tc>
          <w:tcPr>
            <w:tcW w:w="2289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F488D" w:rsidTr="0085577F">
        <w:trPr>
          <w:trHeight w:val="362"/>
        </w:trPr>
        <w:tc>
          <w:tcPr>
            <w:tcW w:w="3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5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8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F488D" w:rsidTr="0085577F">
        <w:trPr>
          <w:trHeight w:val="215"/>
        </w:trPr>
        <w:tc>
          <w:tcPr>
            <w:tcW w:w="3300" w:type="dxa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lastRenderedPageBreak/>
              <w:t>Fasi</w:t>
            </w:r>
          </w:p>
        </w:tc>
        <w:tc>
          <w:tcPr>
            <w:tcW w:w="120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89" w:type="dxa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Default="00BF488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D458BD" w:rsidTr="00D458BD">
        <w:trPr>
          <w:trHeight w:val="178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Fattibilità tecnica ed economica</w:t>
            </w: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8BD" w:rsidRDefault="00D458BD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</w:t>
            </w:r>
            <w:r w:rsidR="00057CD8">
              <w:rPr>
                <w:rFonts w:ascii="Arial" w:eastAsia="Arial" w:hAnsi="Arial"/>
                <w:b/>
                <w:sz w:val="16"/>
              </w:rPr>
              <w:t>2/2021</w:t>
            </w:r>
          </w:p>
        </w:tc>
        <w:tc>
          <w:tcPr>
            <w:tcW w:w="228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8BD" w:rsidRDefault="00057CD8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="00D458BD" w:rsidRPr="00D458BD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="00D458BD" w:rsidRPr="00D458BD">
              <w:rPr>
                <w:rFonts w:ascii="Arial" w:eastAsia="Arial" w:hAnsi="Arial"/>
                <w:b/>
                <w:sz w:val="16"/>
              </w:rPr>
              <w:t>/2020</w:t>
            </w:r>
          </w:p>
        </w:tc>
      </w:tr>
      <w:tr w:rsidR="00D458BD" w:rsidTr="0085577F">
        <w:trPr>
          <w:trHeight w:val="150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A11F0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58BD" w:rsidRDefault="00D458BD" w:rsidP="00D458BD">
            <w:pPr>
              <w:spacing w:line="177" w:lineRule="exact"/>
              <w:ind w:left="60"/>
              <w:jc w:val="center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definitiva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057CD8" w:rsidP="00D458BD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01/04/2021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CF6B8A" w:rsidP="00581E3C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  <w:r w:rsidR="00057CD8">
              <w:rPr>
                <w:rFonts w:ascii="Arial" w:eastAsia="Arial" w:hAnsi="Arial"/>
                <w:b/>
                <w:sz w:val="16"/>
              </w:rPr>
              <w:t>1/07/2021</w:t>
            </w:r>
          </w:p>
        </w:tc>
      </w:tr>
      <w:tr w:rsidR="00CF6B8A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D458BD">
            <w:pPr>
              <w:spacing w:line="177" w:lineRule="exact"/>
              <w:ind w:left="60"/>
              <w:jc w:val="center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Progettazione esecutiva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057CD8" w:rsidP="00D458BD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01/08/2021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057CD8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30/09/2021</w:t>
            </w:r>
          </w:p>
        </w:tc>
      </w:tr>
      <w:tr w:rsidR="00CF6B8A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Pubblicazione bando / Affidamento lavori/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057CD8" w:rsidP="00D458BD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01/10</w:t>
            </w:r>
            <w:r w:rsidR="00581E3C">
              <w:rPr>
                <w:rFonts w:ascii="Arial" w:eastAsia="Arial" w:hAnsi="Arial"/>
                <w:b/>
                <w:sz w:val="16"/>
              </w:rPr>
              <w:t>/2021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057CD8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="009A61CD">
              <w:rPr>
                <w:rFonts w:ascii="Arial" w:eastAsia="Arial" w:hAnsi="Arial"/>
                <w:b/>
                <w:sz w:val="16"/>
              </w:rPr>
              <w:t>/12</w:t>
            </w:r>
            <w:r w:rsidR="00581E3C">
              <w:rPr>
                <w:rFonts w:ascii="Arial" w:eastAsia="Arial" w:hAnsi="Arial"/>
                <w:b/>
                <w:sz w:val="16"/>
              </w:rPr>
              <w:t>/2021</w:t>
            </w:r>
          </w:p>
        </w:tc>
      </w:tr>
      <w:tr w:rsidR="00CF6B8A" w:rsidTr="0085577F">
        <w:trPr>
          <w:trHeight w:val="211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9A61CD" w:rsidP="00A11F01">
            <w:pPr>
              <w:spacing w:line="0" w:lineRule="atLeas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</w:t>
            </w:r>
            <w:r w:rsidR="00CF6B8A">
              <w:rPr>
                <w:rFonts w:ascii="Arial" w:eastAsia="Arial" w:hAnsi="Arial"/>
                <w:b/>
                <w:sz w:val="16"/>
              </w:rPr>
              <w:t>ervizi</w:t>
            </w:r>
            <w:r>
              <w:rPr>
                <w:rFonts w:ascii="Arial" w:eastAsia="Arial" w:hAnsi="Arial"/>
                <w:b/>
                <w:sz w:val="16"/>
              </w:rPr>
              <w:t xml:space="preserve"> – Stipula contratto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5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CF6B8A" w:rsidTr="0085577F">
        <w:trPr>
          <w:trHeight w:val="12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CF6B8A" w:rsidTr="00CF6B8A">
        <w:trPr>
          <w:trHeight w:val="180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Esecuzione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A61CD" w:rsidP="00D458BD">
            <w:pPr>
              <w:spacing w:line="179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01/01/2022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A61CD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30/06/2022</w:t>
            </w:r>
          </w:p>
        </w:tc>
      </w:tr>
      <w:tr w:rsidR="00CF6B8A" w:rsidTr="0085577F">
        <w:trPr>
          <w:trHeight w:val="146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F6B8A" w:rsidTr="00CF6B8A">
        <w:trPr>
          <w:trHeight w:val="178"/>
        </w:trPr>
        <w:tc>
          <w:tcPr>
            <w:tcW w:w="3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Collaudo/funzionalità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5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A61CD" w:rsidP="00D458BD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01/07/2022</w:t>
            </w:r>
          </w:p>
        </w:tc>
        <w:tc>
          <w:tcPr>
            <w:tcW w:w="22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6B8A" w:rsidRDefault="009A61CD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31/07/2022</w:t>
            </w:r>
          </w:p>
        </w:tc>
      </w:tr>
      <w:tr w:rsidR="00CF6B8A" w:rsidTr="0085577F">
        <w:trPr>
          <w:trHeight w:val="148"/>
        </w:trPr>
        <w:tc>
          <w:tcPr>
            <w:tcW w:w="3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5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8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B8A" w:rsidRDefault="00CF6B8A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F488D" w:rsidTr="0085577F">
        <w:trPr>
          <w:trHeight w:val="244"/>
        </w:trPr>
        <w:tc>
          <w:tcPr>
            <w:tcW w:w="3300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  <w:p w:rsidR="00EC12DD" w:rsidRPr="00EC12DD" w:rsidRDefault="00EC12DD" w:rsidP="00A11F01">
            <w:pPr>
              <w:spacing w:line="0" w:lineRule="atLeast"/>
              <w:rPr>
                <w:rFonts w:eastAsiaTheme="minorHAnsi" w:cs="Calibri"/>
                <w:lang w:eastAsia="en-US"/>
              </w:rPr>
            </w:pPr>
            <w:r w:rsidRPr="00EC12DD">
              <w:rPr>
                <w:rFonts w:eastAsiaTheme="minorHAnsi" w:cs="Calibri"/>
                <w:b/>
                <w:lang w:eastAsia="en-US"/>
              </w:rPr>
              <w:t>Data inizio intervento:</w:t>
            </w:r>
            <w:r w:rsidRPr="00EC12DD">
              <w:rPr>
                <w:rFonts w:eastAsiaTheme="minorHAnsi" w:cs="Calibri"/>
                <w:lang w:eastAsia="en-US"/>
              </w:rPr>
              <w:t xml:space="preserve"> 01</w:t>
            </w:r>
            <w:r w:rsidR="00E577BB">
              <w:rPr>
                <w:rFonts w:eastAsiaTheme="minorHAnsi" w:cs="Calibri"/>
                <w:lang w:eastAsia="en-US"/>
              </w:rPr>
              <w:t xml:space="preserve"> febbraio </w:t>
            </w:r>
            <w:r w:rsidRPr="00EC12DD">
              <w:rPr>
                <w:rFonts w:eastAsiaTheme="minorHAnsi" w:cs="Calibri"/>
                <w:lang w:eastAsia="en-US"/>
              </w:rPr>
              <w:t>2021</w:t>
            </w:r>
          </w:p>
          <w:p w:rsidR="00EC12DD" w:rsidRPr="00EC12DD" w:rsidRDefault="00EC12DD" w:rsidP="00A11F01">
            <w:pPr>
              <w:spacing w:line="0" w:lineRule="atLeast"/>
              <w:rPr>
                <w:rFonts w:eastAsiaTheme="minorHAnsi" w:cs="Calibri"/>
                <w:lang w:eastAsia="en-US"/>
              </w:rPr>
            </w:pPr>
            <w:r w:rsidRPr="00EC12DD">
              <w:rPr>
                <w:rFonts w:eastAsiaTheme="minorHAnsi" w:cs="Calibri"/>
                <w:b/>
                <w:lang w:eastAsia="en-US"/>
              </w:rPr>
              <w:t>Data fine intervento:</w:t>
            </w:r>
            <w:r w:rsidRPr="00EC12DD">
              <w:rPr>
                <w:rFonts w:eastAsiaTheme="minorHAnsi" w:cs="Calibri"/>
                <w:lang w:eastAsia="en-US"/>
              </w:rPr>
              <w:t xml:space="preserve"> 31</w:t>
            </w:r>
            <w:r w:rsidR="00E577BB">
              <w:rPr>
                <w:rFonts w:eastAsiaTheme="minorHAnsi" w:cs="Calibri"/>
                <w:lang w:eastAsia="en-US"/>
              </w:rPr>
              <w:t xml:space="preserve"> luglio </w:t>
            </w:r>
            <w:r w:rsidRPr="00EC12DD">
              <w:rPr>
                <w:rFonts w:eastAsiaTheme="minorHAnsi" w:cs="Calibri"/>
                <w:lang w:eastAsia="en-US"/>
              </w:rPr>
              <w:t>2022</w:t>
            </w:r>
          </w:p>
          <w:p w:rsidR="00EC12DD" w:rsidRDefault="00EC12D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  <w:p w:rsidR="00EC12DD" w:rsidRDefault="00EC12D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71" w:type="dxa"/>
            <w:gridSpan w:val="2"/>
            <w:shd w:val="clear" w:color="auto" w:fill="auto"/>
            <w:vAlign w:val="bottom"/>
          </w:tcPr>
          <w:p w:rsidR="00BF488D" w:rsidRDefault="00BF488D" w:rsidP="00A11F01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BF488D" w:rsidRDefault="00BF488D" w:rsidP="00A11F01">
            <w:pPr>
              <w:spacing w:line="243" w:lineRule="exact"/>
              <w:ind w:right="1000"/>
              <w:jc w:val="center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Cronoprogramma finanziario</w:t>
            </w:r>
          </w:p>
        </w:tc>
        <w:tc>
          <w:tcPr>
            <w:tcW w:w="2289" w:type="dxa"/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F488D" w:rsidTr="0085577F">
        <w:trPr>
          <w:trHeight w:val="362"/>
        </w:trPr>
        <w:tc>
          <w:tcPr>
            <w:tcW w:w="3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5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8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A61CD" w:rsidTr="009A61CD">
        <w:trPr>
          <w:trHeight w:val="218"/>
        </w:trPr>
        <w:tc>
          <w:tcPr>
            <w:tcW w:w="7371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9A61CD" w:rsidRDefault="009A61C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Anno</w:t>
            </w:r>
          </w:p>
        </w:tc>
        <w:tc>
          <w:tcPr>
            <w:tcW w:w="228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808080"/>
            <w:vAlign w:val="bottom"/>
          </w:tcPr>
          <w:p w:rsidR="009A61CD" w:rsidRDefault="009A61CD" w:rsidP="00A11F01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</w:t>
            </w:r>
          </w:p>
        </w:tc>
      </w:tr>
      <w:tr w:rsidR="009A61CD" w:rsidTr="009A61CD">
        <w:trPr>
          <w:trHeight w:val="348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CD" w:rsidRDefault="009A61CD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</w:t>
            </w:r>
            <w:r w:rsidR="00EC12DD">
              <w:rPr>
                <w:rFonts w:ascii="Arial" w:eastAsia="Arial" w:hAnsi="Arial"/>
                <w:b/>
                <w:sz w:val="16"/>
              </w:rPr>
              <w:t>021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CD" w:rsidRDefault="009A61CD" w:rsidP="00CF6B8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24.000,00</w:t>
            </w:r>
          </w:p>
        </w:tc>
      </w:tr>
      <w:tr w:rsidR="009A61CD" w:rsidTr="009A61CD">
        <w:trPr>
          <w:trHeight w:val="324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CD" w:rsidRDefault="009A61CD" w:rsidP="00CF6B8A">
            <w:pPr>
              <w:spacing w:line="177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202</w:t>
            </w:r>
            <w:r w:rsidR="00EC12DD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CD" w:rsidRDefault="007F5AF8" w:rsidP="00CF6B8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214</w:t>
            </w:r>
            <w:r w:rsidR="008275D2">
              <w:rPr>
                <w:rFonts w:ascii="Arial" w:eastAsia="Arial" w:hAnsi="Arial"/>
                <w:b/>
                <w:sz w:val="16"/>
              </w:rPr>
              <w:t>.72</w:t>
            </w:r>
            <w:r w:rsidR="009A61CD">
              <w:rPr>
                <w:rFonts w:ascii="Arial" w:eastAsia="Arial" w:hAnsi="Arial"/>
                <w:b/>
                <w:sz w:val="16"/>
              </w:rPr>
              <w:t>0,00</w:t>
            </w:r>
          </w:p>
        </w:tc>
      </w:tr>
      <w:tr w:rsidR="009A61CD" w:rsidTr="009A61CD">
        <w:trPr>
          <w:trHeight w:val="336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CD" w:rsidRDefault="009A61CD" w:rsidP="00CF6B8A">
            <w:pPr>
              <w:spacing w:line="179" w:lineRule="exact"/>
              <w:ind w:lef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Costo totale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1CD" w:rsidRDefault="007F5AF8" w:rsidP="009A61CD">
            <w:pPr>
              <w:spacing w:line="179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238</w:t>
            </w:r>
            <w:r w:rsidR="008275D2">
              <w:rPr>
                <w:rFonts w:ascii="Arial" w:eastAsia="Arial" w:hAnsi="Arial"/>
                <w:b/>
                <w:sz w:val="16"/>
              </w:rPr>
              <w:t>.72</w:t>
            </w:r>
            <w:r w:rsidR="009A61CD">
              <w:rPr>
                <w:rFonts w:ascii="Arial" w:eastAsia="Arial" w:hAnsi="Arial"/>
                <w:b/>
                <w:sz w:val="16"/>
              </w:rPr>
              <w:t>0,00</w:t>
            </w:r>
          </w:p>
        </w:tc>
      </w:tr>
    </w:tbl>
    <w:p w:rsidR="00B5741C" w:rsidRDefault="00B5741C"/>
    <w:sectPr w:rsidR="00B5741C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90D58"/>
    <w:multiLevelType w:val="multilevel"/>
    <w:tmpl w:val="364A2B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2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3">
    <w:nsid w:val="42686035"/>
    <w:multiLevelType w:val="hybridMultilevel"/>
    <w:tmpl w:val="02304608"/>
    <w:lvl w:ilvl="0" w:tplc="7F98675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F3C90"/>
    <w:multiLevelType w:val="hybridMultilevel"/>
    <w:tmpl w:val="6570FEE6"/>
    <w:lvl w:ilvl="0" w:tplc="A022AA8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F488D"/>
    <w:rsid w:val="00027944"/>
    <w:rsid w:val="0004086A"/>
    <w:rsid w:val="00042BB6"/>
    <w:rsid w:val="00057A7C"/>
    <w:rsid w:val="00057CD8"/>
    <w:rsid w:val="00082E7B"/>
    <w:rsid w:val="00101C60"/>
    <w:rsid w:val="0014211F"/>
    <w:rsid w:val="00196D20"/>
    <w:rsid w:val="001E35D9"/>
    <w:rsid w:val="0024570E"/>
    <w:rsid w:val="00252FA3"/>
    <w:rsid w:val="00254537"/>
    <w:rsid w:val="003169B1"/>
    <w:rsid w:val="003457CD"/>
    <w:rsid w:val="003B489C"/>
    <w:rsid w:val="003D1B80"/>
    <w:rsid w:val="004014B7"/>
    <w:rsid w:val="0040477E"/>
    <w:rsid w:val="00424FF6"/>
    <w:rsid w:val="00433E4F"/>
    <w:rsid w:val="004524A1"/>
    <w:rsid w:val="00475651"/>
    <w:rsid w:val="00496B9E"/>
    <w:rsid w:val="004A498A"/>
    <w:rsid w:val="004B09DF"/>
    <w:rsid w:val="004C4AEA"/>
    <w:rsid w:val="004D2180"/>
    <w:rsid w:val="00532D3E"/>
    <w:rsid w:val="00535BF2"/>
    <w:rsid w:val="005366E5"/>
    <w:rsid w:val="00572E47"/>
    <w:rsid w:val="00581E3C"/>
    <w:rsid w:val="00585080"/>
    <w:rsid w:val="0058615C"/>
    <w:rsid w:val="00587E10"/>
    <w:rsid w:val="00596069"/>
    <w:rsid w:val="005C479D"/>
    <w:rsid w:val="005D3533"/>
    <w:rsid w:val="005E65DF"/>
    <w:rsid w:val="0060655C"/>
    <w:rsid w:val="0065405E"/>
    <w:rsid w:val="006A7AD8"/>
    <w:rsid w:val="006E1F29"/>
    <w:rsid w:val="006F6784"/>
    <w:rsid w:val="00706F1B"/>
    <w:rsid w:val="00721A85"/>
    <w:rsid w:val="00724859"/>
    <w:rsid w:val="00740E9E"/>
    <w:rsid w:val="00747DEC"/>
    <w:rsid w:val="007658B4"/>
    <w:rsid w:val="007802EF"/>
    <w:rsid w:val="00792A8B"/>
    <w:rsid w:val="007B3430"/>
    <w:rsid w:val="007C217E"/>
    <w:rsid w:val="007F5AF8"/>
    <w:rsid w:val="008050CC"/>
    <w:rsid w:val="008164FC"/>
    <w:rsid w:val="00817B19"/>
    <w:rsid w:val="008275D2"/>
    <w:rsid w:val="00833208"/>
    <w:rsid w:val="0085577F"/>
    <w:rsid w:val="00871276"/>
    <w:rsid w:val="00874B1D"/>
    <w:rsid w:val="00892462"/>
    <w:rsid w:val="008B2393"/>
    <w:rsid w:val="008D5F1F"/>
    <w:rsid w:val="009308FE"/>
    <w:rsid w:val="00953A4C"/>
    <w:rsid w:val="0095516D"/>
    <w:rsid w:val="009A61CD"/>
    <w:rsid w:val="009C4FAF"/>
    <w:rsid w:val="009D00BF"/>
    <w:rsid w:val="009D62AA"/>
    <w:rsid w:val="00A11F01"/>
    <w:rsid w:val="00A95689"/>
    <w:rsid w:val="00AA3EF2"/>
    <w:rsid w:val="00AB4E7D"/>
    <w:rsid w:val="00AD72AE"/>
    <w:rsid w:val="00B5741C"/>
    <w:rsid w:val="00B873D2"/>
    <w:rsid w:val="00B9202B"/>
    <w:rsid w:val="00BF488D"/>
    <w:rsid w:val="00C12DBA"/>
    <w:rsid w:val="00C20921"/>
    <w:rsid w:val="00C52C92"/>
    <w:rsid w:val="00C7194D"/>
    <w:rsid w:val="00C72414"/>
    <w:rsid w:val="00CA72A8"/>
    <w:rsid w:val="00CC2FB7"/>
    <w:rsid w:val="00CF6B8A"/>
    <w:rsid w:val="00D11E4C"/>
    <w:rsid w:val="00D21C91"/>
    <w:rsid w:val="00D30549"/>
    <w:rsid w:val="00D458BD"/>
    <w:rsid w:val="00D62F69"/>
    <w:rsid w:val="00DC7CA1"/>
    <w:rsid w:val="00DE3487"/>
    <w:rsid w:val="00E566D0"/>
    <w:rsid w:val="00E5760D"/>
    <w:rsid w:val="00E577BB"/>
    <w:rsid w:val="00E660F8"/>
    <w:rsid w:val="00EC12DD"/>
    <w:rsid w:val="00EE41B3"/>
    <w:rsid w:val="00F26A70"/>
    <w:rsid w:val="00F345CB"/>
    <w:rsid w:val="00F548BE"/>
    <w:rsid w:val="00FB0A80"/>
    <w:rsid w:val="00FC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7BB72-0E71-4A94-A456-92D3400F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488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customStyle="1" w:styleId="Default">
    <w:name w:val="Default"/>
    <w:rsid w:val="004C4A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308F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E0AB-AD60-4898-B2F3-3A4E3BABD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Cecilia Moretti</cp:lastModifiedBy>
  <cp:revision>40</cp:revision>
  <dcterms:created xsi:type="dcterms:W3CDTF">2020-05-03T07:58:00Z</dcterms:created>
  <dcterms:modified xsi:type="dcterms:W3CDTF">2020-11-05T07:39:00Z</dcterms:modified>
</cp:coreProperties>
</file>